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DC" w:rsidRDefault="00046ADC">
      <w:pPr>
        <w:pStyle w:val="INNH1"/>
        <w:tabs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\n \u </w:instrText>
      </w:r>
      <w:r>
        <w:rPr>
          <w:b w:val="0"/>
          <w:bCs w:val="0"/>
          <w:caps w:val="0"/>
        </w:rPr>
        <w:fldChar w:fldCharType="separate"/>
      </w:r>
      <w:r>
        <w:rPr>
          <w:noProof/>
        </w:rPr>
        <w:t>Bakgrunnsforelesninger i dynamisk tingsrett</w:t>
      </w:r>
    </w:p>
    <w:p w:rsidR="00046ADC" w:rsidRDefault="00046ADC">
      <w:pPr>
        <w:pStyle w:val="INNH2"/>
        <w:tabs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Professor Erik Røsæg</w:t>
      </w:r>
    </w:p>
    <w:p w:rsidR="00046ADC" w:rsidRDefault="00046ADC">
      <w:pPr>
        <w:pStyle w:val="INNH2"/>
        <w:tabs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Nordisk institutt for sjørett (St. Olavsgt. 23, rom 403)</w:t>
      </w:r>
    </w:p>
    <w:p w:rsidR="00046ADC" w:rsidRDefault="00046ADC">
      <w:pPr>
        <w:pStyle w:val="INNH2"/>
        <w:tabs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erik.rosag@jus.uio.no</w:t>
      </w:r>
    </w:p>
    <w:p w:rsidR="00046ADC" w:rsidRDefault="00046ADC">
      <w:pPr>
        <w:pStyle w:val="INNH2"/>
        <w:tabs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2285 9752</w:t>
      </w:r>
    </w:p>
    <w:p w:rsidR="00046ADC" w:rsidRDefault="00046ADC">
      <w:pPr>
        <w:pStyle w:val="INNH2"/>
        <w:tabs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folk.uio.no/erikro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Ressurser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Fakultetets fagside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Ressurssiden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Nettstedet for disse forelesningene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1.4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Meg!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Formålet med disse forelesningene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Pant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Tvangsfullbyrdelse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Konkurs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2.4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Dynamisk tingsrett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Konflikter om formuesgoder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Rettigheter til ting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Rettigheter i ting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Fast eiendom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3.4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Løsøre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3.5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Fordringer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3.6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Etc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Forskjellige typer konflikter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4.1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Kontrakt – kontrakt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4.2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Kreditorbeslag – kontrakt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4.3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[Kontrakt – ekspropriasjon]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4.4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Forskjellige typer kontrakter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4.5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Forskjellige typer kreditorbeslag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Forskjellige argumenttyper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5.1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Ugyldighet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5.2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Skyld/ tillit/ god tro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5.3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Bevis/ notoritet/ faktisk tilstand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5.4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Først i tid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5.5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Vederlag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5.6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Subsidiaritet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Tinglysning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6.1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Dokumentasjon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6.2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Dokumentinnlevering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6.3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Dagboka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6.4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Grunnboka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6.5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Tinglysningspåtegning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Hjelpebegreper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lastRenderedPageBreak/>
        <w:t>7.1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Rettsvern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7.2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Sikringsakt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8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De viktigste lovene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8.1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Konkursloven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8.2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Dekningsloven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8.3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Tingslysningsloven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8.4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Panteloven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8.5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Godtroloven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8.6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Tvangsloven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8.7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Gjeldsbrevloven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9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Avtaler generelt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10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Avtaler skal holdes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10.1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Tvang som ressurs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10.2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Obligatoriske og tinglige krav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10.3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Et ganske alminnelig huskjøp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11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Tvangsfullbyrdelse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12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Gangen i tvangsfullbyrdelse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12.1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Mislighold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12.2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Tvangsgrunnlag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12.3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Utlegg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12.4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Tvangssalg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13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Fordelingen av kjøpesummen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13.1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Omkostninger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13.2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Fordeling etter prioritet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13.3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Dekningsprinsippet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14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Pantavtaler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15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Hovedproblemer i pant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15.1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Hvorfor pant?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15.2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Kontraktsrettslige problemer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15.3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Rettsvernproblemer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16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Oversikt over panteloven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16.1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Avtalepant i fast eiendom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16.2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Avtalepant i løsøre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16.3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Avtalepant i fordringer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16.4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Utleggspant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16.5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Legalpant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17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Pantedokumentasjon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17.1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(Negotiabelt) gjeldsbrev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17.2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Pantedokument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17.3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Pantsettelseserklæring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17.4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”Pantobligasjon”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17.5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”Gjort obligasjon”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lastRenderedPageBreak/>
        <w:t>17.6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Skadesløsbrev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18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Hjemmelskravet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18.1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Utgangspunktet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18.2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Tilbakeholdsrett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18.3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Motregning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18.4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Direktekrav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18.5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Leasing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19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Tingsinnbegrepspant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19.1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Tingsinnbegrep = tingssamling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19.2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 xml:space="preserve">I praksis betyr det  </w:t>
      </w:r>
      <w:r w:rsidRPr="000B3B99">
        <w:rPr>
          <w:noProof/>
          <w:u w:val="single"/>
        </w:rPr>
        <w:t>pant under ett</w:t>
      </w:r>
      <w:r>
        <w:rPr>
          <w:noProof/>
        </w:rPr>
        <w:t xml:space="preserve"> i </w:t>
      </w:r>
      <w:r w:rsidRPr="000B3B99">
        <w:rPr>
          <w:noProof/>
          <w:u w:val="single"/>
        </w:rPr>
        <w:t>løsøre</w:t>
      </w:r>
      <w:r>
        <w:rPr>
          <w:noProof/>
        </w:rPr>
        <w:t xml:space="preserve"> som 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19.3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Varelager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19.4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Driftstilbehør (drifstsløsøre, produksjonsmidler)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19.5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vanlig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19.6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motorvogner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19.7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anleggsmaskiner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19.8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jernbanemateriell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19.9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redskaper, besetning, avling m.v. i landbruksnæring</w:t>
      </w:r>
    </w:p>
    <w:p w:rsidR="00046ADC" w:rsidRDefault="00046ADC">
      <w:pPr>
        <w:pStyle w:val="INNH2"/>
        <w:tabs>
          <w:tab w:val="left" w:pos="110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19.10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fiskeredskaper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20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Pant i fordringer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20.1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Pant i fordringer – prinsippet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20.2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Pantsettelse av bankinnskudd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20.3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Forholdet til motregning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21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Motregning i konkurs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22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Fordelen med å kunne motregne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23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Opptrinnsrett - problemet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23.1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Tomme prioriteter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23.2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Opplåningsrett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23.3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Opptrinnsrett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24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Kreditorbeslag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25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To hovedtyper kreditorbeslag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25.1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Utleggspant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25.2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Konkurs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26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Hovedregelen (deknl § 2-2)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26.1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tilhører skyldneren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26.2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på beslagstiden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26.3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som kan … omgjøres i penger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26.4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De ”reelle” eierforholdene er avgjørende (Rt 1935 981 (Bygland-dommen))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27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Forskjellige typer gjeldsforfølgning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27.1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Fellesforfølgning (kollektiv forfølgning) og enkeltforfølgning</w:t>
      </w:r>
    </w:p>
    <w:p w:rsidR="00046ADC" w:rsidRP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  <w:lang w:val="nn-NO"/>
        </w:rPr>
      </w:pPr>
      <w:r w:rsidRPr="00046ADC">
        <w:rPr>
          <w:noProof/>
          <w:lang w:val="nn-NO"/>
        </w:rPr>
        <w:t>27.2</w:t>
      </w:r>
      <w:r w:rsidRPr="00046ADC">
        <w:rPr>
          <w:rFonts w:cstheme="minorBidi"/>
          <w:smallCaps w:val="0"/>
          <w:noProof/>
          <w:sz w:val="22"/>
          <w:szCs w:val="22"/>
          <w:lang w:val="nn-NO"/>
        </w:rPr>
        <w:tab/>
      </w:r>
      <w:r w:rsidRPr="00046ADC">
        <w:rPr>
          <w:noProof/>
          <w:lang w:val="nn-NO"/>
        </w:rPr>
        <w:t>Konkurs (kkl del 2)</w:t>
      </w:r>
    </w:p>
    <w:p w:rsidR="00046ADC" w:rsidRP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  <w:lang w:val="nn-NO"/>
        </w:rPr>
      </w:pPr>
      <w:r w:rsidRPr="000B3B99">
        <w:rPr>
          <w:noProof/>
          <w:lang w:val="nn-NO"/>
        </w:rPr>
        <w:t>27.3</w:t>
      </w:r>
      <w:r w:rsidRPr="00046ADC">
        <w:rPr>
          <w:rFonts w:cstheme="minorBidi"/>
          <w:smallCaps w:val="0"/>
          <w:noProof/>
          <w:sz w:val="22"/>
          <w:szCs w:val="22"/>
          <w:lang w:val="nn-NO"/>
        </w:rPr>
        <w:tab/>
      </w:r>
      <w:r w:rsidRPr="000B3B99">
        <w:rPr>
          <w:noProof/>
          <w:lang w:val="nn-NO"/>
        </w:rPr>
        <w:t>Tvangsakkord (kkl kap VI og XIV)</w:t>
      </w:r>
    </w:p>
    <w:p w:rsidR="00046ADC" w:rsidRP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  <w:lang w:val="nn-NO"/>
        </w:rPr>
      </w:pPr>
      <w:r w:rsidRPr="00046ADC">
        <w:rPr>
          <w:noProof/>
          <w:lang w:val="nn-NO"/>
        </w:rPr>
        <w:t>27.4</w:t>
      </w:r>
      <w:r w:rsidRPr="00046ADC">
        <w:rPr>
          <w:rFonts w:cstheme="minorBidi"/>
          <w:smallCaps w:val="0"/>
          <w:noProof/>
          <w:sz w:val="22"/>
          <w:szCs w:val="22"/>
          <w:lang w:val="nn-NO"/>
        </w:rPr>
        <w:tab/>
      </w:r>
      <w:r w:rsidRPr="00046ADC">
        <w:rPr>
          <w:noProof/>
          <w:lang w:val="nn-NO"/>
        </w:rPr>
        <w:t>(Frivillig) gjeldsforhandling (kkl del 1)</w:t>
      </w:r>
    </w:p>
    <w:p w:rsidR="00046ADC" w:rsidRP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  <w:lang w:val="nn-NO"/>
        </w:rPr>
      </w:pPr>
      <w:r w:rsidRPr="00046ADC">
        <w:rPr>
          <w:noProof/>
          <w:lang w:val="nn-NO"/>
        </w:rPr>
        <w:lastRenderedPageBreak/>
        <w:t>27.5</w:t>
      </w:r>
      <w:r w:rsidRPr="00046ADC">
        <w:rPr>
          <w:rFonts w:cstheme="minorBidi"/>
          <w:smallCaps w:val="0"/>
          <w:noProof/>
          <w:sz w:val="22"/>
          <w:szCs w:val="22"/>
          <w:lang w:val="nn-NO"/>
        </w:rPr>
        <w:tab/>
      </w:r>
      <w:r w:rsidRPr="00046ADC">
        <w:rPr>
          <w:noProof/>
          <w:lang w:val="nn-NO"/>
        </w:rPr>
        <w:t>Gjeldsordning (lov nr 99/1992)</w:t>
      </w:r>
    </w:p>
    <w:p w:rsidR="00046ADC" w:rsidRP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  <w:lang w:val="nn-NO"/>
        </w:rPr>
      </w:pPr>
      <w:r w:rsidRPr="000B3B99">
        <w:rPr>
          <w:noProof/>
          <w:lang w:val="nn-NO"/>
        </w:rPr>
        <w:t>27.6</w:t>
      </w:r>
      <w:r w:rsidRPr="00046ADC">
        <w:rPr>
          <w:rFonts w:cstheme="minorBidi"/>
          <w:smallCaps w:val="0"/>
          <w:noProof/>
          <w:sz w:val="22"/>
          <w:szCs w:val="22"/>
          <w:lang w:val="nn-NO"/>
        </w:rPr>
        <w:tab/>
      </w:r>
      <w:r w:rsidRPr="000B3B99">
        <w:rPr>
          <w:noProof/>
          <w:lang w:val="nn-NO"/>
        </w:rPr>
        <w:t>Utlegg (tvangsl kap 7 og pantel kap 5)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28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Visualsering av beslagsretten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29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Konkursåpning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29.1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Balanse = positiv egenkapital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29.2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Underbalanse = negativ egenkapital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30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Gangen i konkurs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30.1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Insolvens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30.2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Begjæring og åpning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30.3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Bobestyrer og kreditorutvalg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30.4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Aktivasiden i boet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30.5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Omstøtelse mv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30.6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Passivasiden i boet: Prøvelse av fordringer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30.7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Fordelingsreglene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30.8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Slutning</w:t>
      </w:r>
    </w:p>
    <w:p w:rsidR="00046ADC" w:rsidRDefault="00046ADC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31</w:t>
      </w:r>
      <w:r>
        <w:rPr>
          <w:rFonts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Fordelingen av boets midler mellom kreditorene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31.1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Hovedregelen (deknl § 9-6)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31.2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Særlig priviligerte kreditorer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31.3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[Kreditorer med panterett, tilbakeholdsrett ol (deknl §§ 8-14 fg)]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31.4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Kreditorer med motregningsrett (deknl § 8-1 fg)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 w:rsidRPr="00046ADC">
        <w:rPr>
          <w:noProof/>
        </w:rPr>
        <w:t>31.5</w:t>
      </w:r>
      <w:r>
        <w:rPr>
          <w:rFonts w:cstheme="minorBidi"/>
          <w:smallCaps w:val="0"/>
          <w:noProof/>
          <w:sz w:val="22"/>
          <w:szCs w:val="22"/>
        </w:rPr>
        <w:tab/>
      </w:r>
      <w:r w:rsidRPr="00046ADC">
        <w:rPr>
          <w:noProof/>
        </w:rPr>
        <w:t>Kreditorer med flere  skyldnere (deknl § 8-7 fg)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31.6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[Kreditorer med fortrinnsrett (deknl §§ 9-2 fg)]</w:t>
      </w:r>
    </w:p>
    <w:p w:rsidR="00046ADC" w:rsidRDefault="00046ADC">
      <w:pPr>
        <w:pStyle w:val="INNH2"/>
        <w:tabs>
          <w:tab w:val="left" w:pos="880"/>
          <w:tab w:val="right" w:leader="dot" w:pos="9062"/>
        </w:tabs>
        <w:rPr>
          <w:rFonts w:cstheme="minorBidi"/>
          <w:smallCaps w:val="0"/>
          <w:noProof/>
          <w:sz w:val="22"/>
          <w:szCs w:val="22"/>
        </w:rPr>
      </w:pPr>
      <w:r>
        <w:rPr>
          <w:noProof/>
        </w:rPr>
        <w:t>31.7</w:t>
      </w:r>
      <w:r>
        <w:rPr>
          <w:rFonts w:cstheme="minorBidi"/>
          <w:smallCaps w:val="0"/>
          <w:noProof/>
          <w:sz w:val="22"/>
          <w:szCs w:val="22"/>
        </w:rPr>
        <w:tab/>
      </w:r>
      <w:r>
        <w:rPr>
          <w:noProof/>
        </w:rPr>
        <w:t>[Kreditorer som må stå tilbake (deknl § 9-7]</w:t>
      </w:r>
    </w:p>
    <w:p w:rsidR="00046ADC" w:rsidRDefault="00046ADC" w:rsidP="00046ADC">
      <w:r>
        <w:rPr>
          <w:rFonts w:cstheme="minorHAnsi"/>
          <w:b/>
          <w:bCs/>
          <w:caps/>
          <w:sz w:val="20"/>
          <w:szCs w:val="20"/>
        </w:rPr>
        <w:fldChar w:fldCharType="end"/>
      </w:r>
    </w:p>
    <w:p w:rsidR="00413AE6" w:rsidRPr="001937DC" w:rsidRDefault="00413AE6" w:rsidP="006534AC">
      <w:bookmarkStart w:id="0" w:name="_GoBack"/>
      <w:bookmarkEnd w:id="0"/>
    </w:p>
    <w:sectPr w:rsidR="00413AE6" w:rsidRPr="001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398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>
    <w:nsid w:val="18360275"/>
    <w:multiLevelType w:val="hybridMultilevel"/>
    <w:tmpl w:val="DEEEEFB2"/>
    <w:lvl w:ilvl="0" w:tplc="2D628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EB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68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AA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F28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B2E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6C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27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21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BEB13C6"/>
    <w:multiLevelType w:val="hybridMultilevel"/>
    <w:tmpl w:val="6882E2E0"/>
    <w:lvl w:ilvl="0" w:tplc="579EAF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87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28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68C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0C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229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025B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C8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AC1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B97FD5"/>
    <w:multiLevelType w:val="hybridMultilevel"/>
    <w:tmpl w:val="D34EE5A0"/>
    <w:lvl w:ilvl="0" w:tplc="BA98F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D6F752">
      <w:start w:val="25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8C972">
      <w:start w:val="257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46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0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A9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6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24B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C8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7123D6"/>
    <w:multiLevelType w:val="hybridMultilevel"/>
    <w:tmpl w:val="22684DBA"/>
    <w:lvl w:ilvl="0" w:tplc="6694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AE70D4">
      <w:start w:val="25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2D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4E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4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2D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22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6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28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C"/>
    <w:rsid w:val="00046ADC"/>
    <w:rsid w:val="001937DC"/>
    <w:rsid w:val="002833AA"/>
    <w:rsid w:val="00375A24"/>
    <w:rsid w:val="00413AE6"/>
    <w:rsid w:val="004E3097"/>
    <w:rsid w:val="006534AC"/>
    <w:rsid w:val="006F63CF"/>
    <w:rsid w:val="009A1158"/>
    <w:rsid w:val="00AA5549"/>
    <w:rsid w:val="00BD2A15"/>
    <w:rsid w:val="00D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37D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37D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5549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6AD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6AD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6AD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6AD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6AD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6AD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93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93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A55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4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46A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46A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46A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46A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46A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046ADC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046AD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046ADC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046ADC"/>
    <w:pPr>
      <w:spacing w:after="0"/>
      <w:ind w:left="660"/>
    </w:pPr>
    <w:rPr>
      <w:rFonts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046ADC"/>
    <w:pPr>
      <w:spacing w:after="0"/>
      <w:ind w:left="880"/>
    </w:pPr>
    <w:rPr>
      <w:rFonts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046ADC"/>
    <w:pPr>
      <w:spacing w:after="0"/>
      <w:ind w:left="1100"/>
    </w:pPr>
    <w:rPr>
      <w:rFonts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046ADC"/>
    <w:pPr>
      <w:spacing w:after="0"/>
      <w:ind w:left="1320"/>
    </w:pPr>
    <w:rPr>
      <w:rFonts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046ADC"/>
    <w:pPr>
      <w:spacing w:after="0"/>
      <w:ind w:left="1540"/>
    </w:pPr>
    <w:rPr>
      <w:rFonts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046ADC"/>
    <w:pPr>
      <w:spacing w:after="0"/>
      <w:ind w:left="1760"/>
    </w:pPr>
    <w:rPr>
      <w:rFonts w:cstheme="minorHAns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46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37D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37D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5549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6AD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6AD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6AD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6AD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6AD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6AD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93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93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A55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4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46A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46A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46A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46A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46A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046ADC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046AD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046ADC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046ADC"/>
    <w:pPr>
      <w:spacing w:after="0"/>
      <w:ind w:left="660"/>
    </w:pPr>
    <w:rPr>
      <w:rFonts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046ADC"/>
    <w:pPr>
      <w:spacing w:after="0"/>
      <w:ind w:left="880"/>
    </w:pPr>
    <w:rPr>
      <w:rFonts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046ADC"/>
    <w:pPr>
      <w:spacing w:after="0"/>
      <w:ind w:left="1100"/>
    </w:pPr>
    <w:rPr>
      <w:rFonts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046ADC"/>
    <w:pPr>
      <w:spacing w:after="0"/>
      <w:ind w:left="1320"/>
    </w:pPr>
    <w:rPr>
      <w:rFonts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046ADC"/>
    <w:pPr>
      <w:spacing w:after="0"/>
      <w:ind w:left="1540"/>
    </w:pPr>
    <w:rPr>
      <w:rFonts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046ADC"/>
    <w:pPr>
      <w:spacing w:after="0"/>
      <w:ind w:left="1760"/>
    </w:pPr>
    <w:rPr>
      <w:rFonts w:cstheme="minorHAns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46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7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287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9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2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7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9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1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68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2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96F1-7CCF-4D0D-BE5E-F7272F92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631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68</vt:i4>
      </vt:variant>
    </vt:vector>
  </HeadingPairs>
  <TitlesOfParts>
    <vt:vector size="69" baseType="lpstr">
      <vt:lpstr/>
      <vt:lpstr>Bakgrunnsforelesninger i dynamisk tingsrett</vt:lpstr>
      <vt:lpstr>    Professor Erik Røsæg</vt:lpstr>
      <vt:lpstr>    Nordisk institutt for sjørett (St. Olavsgt. 23, rom 403)</vt:lpstr>
      <vt:lpstr>    erik.rosag@jus.uio.no</vt:lpstr>
      <vt:lpstr>    2285 9752</vt:lpstr>
      <vt:lpstr>    folk.uio.no/erikro</vt:lpstr>
      <vt:lpstr>Ressurser</vt:lpstr>
      <vt:lpstr>    Fakultetets fagside</vt:lpstr>
      <vt:lpstr>    Ressurssiden</vt:lpstr>
      <vt:lpstr>    Nettstedet for disse forelesningene</vt:lpstr>
      <vt:lpstr>    Meg!</vt:lpstr>
      <vt:lpstr>Formålet med disse forelesningene</vt:lpstr>
      <vt:lpstr>    Pant</vt:lpstr>
      <vt:lpstr>    Tvangsfullbyrdelse</vt:lpstr>
      <vt:lpstr>    Konkurs</vt:lpstr>
      <vt:lpstr>    Dynamisk tingsrett</vt:lpstr>
      <vt:lpstr>Konflikter om formuesgoder</vt:lpstr>
      <vt:lpstr>    Rettigheter til ting</vt:lpstr>
      <vt:lpstr>    Rettigheter i ting</vt:lpstr>
      <vt:lpstr>    Fast eiendom</vt:lpstr>
      <vt:lpstr>    Løsøre</vt:lpstr>
      <vt:lpstr>    Fordringer</vt:lpstr>
      <vt:lpstr>    Etc</vt:lpstr>
      <vt:lpstr>Forskjellige typer konflikter</vt:lpstr>
      <vt:lpstr>    Kontrakt – kontrakt</vt:lpstr>
      <vt:lpstr>    Kreditorbeslag – kontrakt</vt:lpstr>
      <vt:lpstr>    [Kontrakt – ekspropriasjon]</vt:lpstr>
      <vt:lpstr>    Forskjellige typer kontrakter</vt:lpstr>
      <vt:lpstr>    Forskjellige typer kreditorbeslag</vt:lpstr>
      <vt:lpstr>Forskjellige argumenttyper</vt:lpstr>
      <vt:lpstr>    Ugyldighet</vt:lpstr>
      <vt:lpstr>    Skyld/ tillit/ god tro</vt:lpstr>
      <vt:lpstr>    Bevis/ notoritet/ faktisk tilstand</vt:lpstr>
      <vt:lpstr>    Først i tid</vt:lpstr>
      <vt:lpstr>    Vederlag</vt:lpstr>
      <vt:lpstr>    Subsidiaritet</vt:lpstr>
      <vt:lpstr>Tinglysning</vt:lpstr>
      <vt:lpstr>    Dokumentasjon</vt:lpstr>
      <vt:lpstr>    Dokumentinnlevering</vt:lpstr>
      <vt:lpstr>    Dagboka</vt:lpstr>
      <vt:lpstr>    Grunnboka</vt:lpstr>
      <vt:lpstr>    Tinglysningspåtegning</vt:lpstr>
      <vt:lpstr>Hjelpebegreper</vt:lpstr>
      <vt:lpstr>    Rettsvern</vt:lpstr>
      <vt:lpstr>    Sikringsakt</vt:lpstr>
      <vt:lpstr>De viktigste lovene</vt:lpstr>
      <vt:lpstr>    Konkursloven</vt:lpstr>
      <vt:lpstr>    Dekningsloven</vt:lpstr>
      <vt:lpstr>    Tingslysningsloven</vt:lpstr>
      <vt:lpstr>    Panteloven</vt:lpstr>
      <vt:lpstr>    Godtroloven</vt:lpstr>
      <vt:lpstr>    Tvangsloven</vt:lpstr>
      <vt:lpstr>    Gjeldsbrevloven</vt:lpstr>
      <vt:lpstr>Avtaler generelt</vt:lpstr>
      <vt:lpstr>Avtaler skal holdes</vt:lpstr>
      <vt:lpstr>    Tvang som ressurs</vt:lpstr>
      <vt:lpstr>    Obligatoriske og tinglige krav</vt:lpstr>
      <vt:lpstr>    Et ganske alminnelig huskjøp</vt:lpstr>
      <vt:lpstr>Tvangsfullbyrdelse</vt:lpstr>
      <vt:lpstr>Gangen i tvangsfullbyrdelse</vt:lpstr>
      <vt:lpstr>    Mislighold</vt:lpstr>
      <vt:lpstr>    Tvangsgrunnlag</vt:lpstr>
      <vt:lpstr>    Utlegg</vt:lpstr>
      <vt:lpstr>    Tvangssalg</vt:lpstr>
      <vt:lpstr>Fordelingen av kjøpesummen</vt:lpstr>
      <vt:lpstr>    Omkostninger</vt:lpstr>
      <vt:lpstr>    Fordeling etter prioritet</vt:lpstr>
      <vt:lpstr>    Dekningsprinsippet</vt:lpstr>
    </vt:vector>
  </TitlesOfParts>
  <Company>Universitetet i Oslo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Røsæg</dc:creator>
  <cp:lastModifiedBy>Erik Røsæg</cp:lastModifiedBy>
  <cp:revision>7</cp:revision>
  <dcterms:created xsi:type="dcterms:W3CDTF">2011-08-17T04:52:00Z</dcterms:created>
  <dcterms:modified xsi:type="dcterms:W3CDTF">2011-08-17T05:24:00Z</dcterms:modified>
</cp:coreProperties>
</file>